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064E9B" w:rsidRPr="00BB58F0" w:rsidRDefault="00BB58F0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36"/>
          <w:szCs w:val="36"/>
        </w:rPr>
      </w:pPr>
      <w:r w:rsidRPr="00BB58F0">
        <w:rPr>
          <w:rFonts w:ascii="Century Gothic" w:eastAsia="Arial" w:hAnsi="Century Gothic" w:cs="Arial"/>
          <w:b/>
          <w:bCs/>
          <w:color w:val="000000"/>
          <w:sz w:val="36"/>
          <w:szCs w:val="36"/>
        </w:rPr>
        <w:t>Conflict of Interest Policy and Annual Statement</w:t>
      </w:r>
    </w:p>
    <w:p w14:paraId="00000003" w14:textId="2EB77779" w:rsidR="00064E9B" w:rsidRPr="00BB58F0" w:rsidRDefault="00BB58F0">
      <w:pPr>
        <w:spacing w:after="0" w:line="240" w:lineRule="auto"/>
        <w:rPr>
          <w:rFonts w:ascii="Century Gothic" w:eastAsia="Times New Roman" w:hAnsi="Century Gothic" w:cs="Times New Roman"/>
          <w:sz w:val="32"/>
          <w:szCs w:val="32"/>
        </w:rPr>
      </w:pPr>
      <w:r w:rsidRPr="00BB58F0">
        <w:rPr>
          <w:rFonts w:ascii="Century Gothic" w:eastAsia="Arial" w:hAnsi="Century Gothic" w:cs="Arial"/>
          <w:color w:val="000000"/>
          <w:sz w:val="32"/>
          <w:szCs w:val="32"/>
        </w:rPr>
        <w:t xml:space="preserve">For Officers, Directors, </w:t>
      </w:r>
      <w:r w:rsidR="00DB77FB">
        <w:rPr>
          <w:rFonts w:ascii="Century Gothic" w:eastAsia="Arial" w:hAnsi="Century Gothic" w:cs="Arial"/>
          <w:color w:val="000000"/>
          <w:sz w:val="32"/>
          <w:szCs w:val="32"/>
        </w:rPr>
        <w:t xml:space="preserve">Employees, </w:t>
      </w:r>
      <w:r w:rsidRPr="00BB58F0">
        <w:rPr>
          <w:rFonts w:ascii="Century Gothic" w:eastAsia="Arial" w:hAnsi="Century Gothic" w:cs="Arial"/>
          <w:color w:val="000000"/>
          <w:sz w:val="32"/>
          <w:szCs w:val="32"/>
        </w:rPr>
        <w:t>and Board Members</w:t>
      </w:r>
    </w:p>
    <w:p w14:paraId="705B2A48" w14:textId="77777777" w:rsidR="00BB58F0" w:rsidRDefault="00BB58F0">
      <w:pPr>
        <w:spacing w:after="0" w:line="240" w:lineRule="auto"/>
        <w:rPr>
          <w:rFonts w:ascii="Century Gothic" w:eastAsia="Arial" w:hAnsi="Century Gothic" w:cs="Arial"/>
          <w:b/>
          <w:color w:val="000000"/>
        </w:rPr>
      </w:pPr>
    </w:p>
    <w:p w14:paraId="39A5A33D" w14:textId="3B66C332" w:rsidR="00BB58F0" w:rsidRDefault="00BB58F0" w:rsidP="00BB58F0">
      <w:pPr>
        <w:spacing w:after="12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b/>
          <w:color w:val="000000"/>
        </w:rPr>
        <w:t>Purpose:</w:t>
      </w:r>
    </w:p>
    <w:p w14:paraId="00000007" w14:textId="2134317F" w:rsidR="00064E9B" w:rsidRPr="00BB58F0" w:rsidRDefault="00BB58F0" w:rsidP="00BB58F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color w:val="000000"/>
        </w:rPr>
        <w:t>To ensure that all Welcome Home Angel (WHA) transactions and business agreements are made with honest intentions. The foundation’s mission supersedes all personal financial interests.</w:t>
      </w:r>
    </w:p>
    <w:p w14:paraId="00000008" w14:textId="77777777" w:rsidR="00064E9B" w:rsidRPr="00BB58F0" w:rsidRDefault="00064E9B">
      <w:pPr>
        <w:spacing w:after="0" w:line="240" w:lineRule="auto"/>
        <w:rPr>
          <w:rFonts w:ascii="Century Gothic" w:eastAsia="Times New Roman" w:hAnsi="Century Gothic" w:cs="Times New Roman"/>
        </w:rPr>
      </w:pPr>
    </w:p>
    <w:p w14:paraId="00000009" w14:textId="77777777" w:rsidR="00064E9B" w:rsidRPr="00BB58F0" w:rsidRDefault="00BB58F0" w:rsidP="00BB58F0">
      <w:pPr>
        <w:spacing w:after="12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b/>
          <w:color w:val="000000"/>
        </w:rPr>
        <w:t>Definitions:</w:t>
      </w:r>
    </w:p>
    <w:p w14:paraId="0000000B" w14:textId="16315AAA" w:rsidR="00064E9B" w:rsidRPr="00BB58F0" w:rsidRDefault="00BB58F0" w:rsidP="00BB58F0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color w:val="000000"/>
        </w:rPr>
        <w:t xml:space="preserve">Individual with interest: Any officer, board member, </w:t>
      </w:r>
      <w:proofErr w:type="gramStart"/>
      <w:r w:rsidR="002A73F4">
        <w:rPr>
          <w:rFonts w:ascii="Century Gothic" w:eastAsia="Arial" w:hAnsi="Century Gothic" w:cs="Arial"/>
          <w:color w:val="000000"/>
        </w:rPr>
        <w:t>employee</w:t>
      </w:r>
      <w:proofErr w:type="gramEnd"/>
      <w:r w:rsidR="002A73F4">
        <w:rPr>
          <w:rFonts w:ascii="Century Gothic" w:eastAsia="Arial" w:hAnsi="Century Gothic" w:cs="Arial"/>
          <w:color w:val="000000"/>
        </w:rPr>
        <w:t xml:space="preserve"> </w:t>
      </w:r>
      <w:r w:rsidRPr="00BB58F0">
        <w:rPr>
          <w:rFonts w:ascii="Century Gothic" w:eastAsia="Arial" w:hAnsi="Century Gothic" w:cs="Arial"/>
          <w:color w:val="000000"/>
        </w:rPr>
        <w:t xml:space="preserve">or director </w:t>
      </w:r>
      <w:r w:rsidR="007F74F1">
        <w:rPr>
          <w:rFonts w:ascii="Century Gothic" w:eastAsia="Arial" w:hAnsi="Century Gothic" w:cs="Arial"/>
          <w:color w:val="000000"/>
        </w:rPr>
        <w:t xml:space="preserve">(Member) </w:t>
      </w:r>
      <w:r w:rsidRPr="00BB58F0">
        <w:rPr>
          <w:rFonts w:ascii="Century Gothic" w:eastAsia="Arial" w:hAnsi="Century Gothic" w:cs="Arial"/>
          <w:color w:val="000000"/>
        </w:rPr>
        <w:t>that has a financial interest.</w:t>
      </w:r>
    </w:p>
    <w:p w14:paraId="0000000C" w14:textId="65C01934" w:rsidR="00064E9B" w:rsidRPr="00BB58F0" w:rsidRDefault="00BB58F0" w:rsidP="00BB58F0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color w:val="000000"/>
        </w:rPr>
        <w:t>Financial interest is defined as having a connection either directly or indirectly to a business, product, or family.</w:t>
      </w:r>
    </w:p>
    <w:p w14:paraId="0000000D" w14:textId="5C283407" w:rsidR="00064E9B" w:rsidRPr="00BB58F0" w:rsidRDefault="00BB58F0" w:rsidP="00BB58F0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color w:val="000000"/>
        </w:rPr>
        <w:t>Having a personal connection with a family that is up for sponsorship.</w:t>
      </w:r>
    </w:p>
    <w:p w14:paraId="0000000E" w14:textId="0837457B" w:rsidR="00064E9B" w:rsidRPr="00BB58F0" w:rsidRDefault="00BB58F0" w:rsidP="00BB58F0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color w:val="000000"/>
        </w:rPr>
        <w:t>Receiving compensation from an entity that WHA has had a transaction or arrangement.</w:t>
      </w:r>
    </w:p>
    <w:p w14:paraId="0000000F" w14:textId="7643AD64" w:rsidR="00064E9B" w:rsidRPr="00BB58F0" w:rsidRDefault="00BB58F0" w:rsidP="00BB58F0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color w:val="000000"/>
        </w:rPr>
        <w:t>Giving compensation to an entity that WHA has had a transaction or arrangement with.</w:t>
      </w:r>
    </w:p>
    <w:p w14:paraId="00000010" w14:textId="69340E52" w:rsidR="00064E9B" w:rsidRPr="00E73324" w:rsidRDefault="00BB58F0" w:rsidP="00BB58F0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color w:val="000000"/>
        </w:rPr>
        <w:t>Having a potential ownership or investment interest with any entity that WHA is in negotiations with.</w:t>
      </w:r>
    </w:p>
    <w:p w14:paraId="7701DCC7" w14:textId="120B0ED2" w:rsidR="00E73324" w:rsidRPr="00BB58F0" w:rsidRDefault="00E73324" w:rsidP="00BB58F0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Arial" w:hAnsi="Century Gothic" w:cs="Arial"/>
          <w:color w:val="000000"/>
        </w:rPr>
        <w:t>Serving in a development/fundraising capacity for other organizations</w:t>
      </w:r>
      <w:r w:rsidR="00A8278C">
        <w:rPr>
          <w:rFonts w:ascii="Century Gothic" w:eastAsia="Arial" w:hAnsi="Century Gothic" w:cs="Arial"/>
          <w:color w:val="000000"/>
        </w:rPr>
        <w:t xml:space="preserve">, whether formal or informal. </w:t>
      </w:r>
    </w:p>
    <w:p w14:paraId="00000011" w14:textId="77777777" w:rsidR="00064E9B" w:rsidRPr="00BB58F0" w:rsidRDefault="00064E9B">
      <w:pPr>
        <w:spacing w:after="0" w:line="240" w:lineRule="auto"/>
        <w:rPr>
          <w:rFonts w:ascii="Century Gothic" w:eastAsia="Times New Roman" w:hAnsi="Century Gothic" w:cs="Times New Roman"/>
        </w:rPr>
      </w:pPr>
    </w:p>
    <w:p w14:paraId="00000012" w14:textId="77777777" w:rsidR="00064E9B" w:rsidRPr="00BB58F0" w:rsidRDefault="00BB58F0">
      <w:pPr>
        <w:spacing w:after="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color w:val="000000"/>
        </w:rPr>
        <w:t>Compensation refers to money, services, or gifts. These can be either direct or indirect.</w:t>
      </w:r>
    </w:p>
    <w:p w14:paraId="00000013" w14:textId="77777777" w:rsidR="00064E9B" w:rsidRPr="00BB58F0" w:rsidRDefault="00064E9B">
      <w:pPr>
        <w:spacing w:after="0" w:line="240" w:lineRule="auto"/>
        <w:rPr>
          <w:rFonts w:ascii="Century Gothic" w:eastAsia="Times New Roman" w:hAnsi="Century Gothic" w:cs="Times New Roman"/>
        </w:rPr>
      </w:pPr>
    </w:p>
    <w:p w14:paraId="00000014" w14:textId="77777777" w:rsidR="00064E9B" w:rsidRPr="00BB58F0" w:rsidRDefault="00BB58F0" w:rsidP="00BB58F0">
      <w:pPr>
        <w:spacing w:after="12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b/>
          <w:color w:val="000000"/>
        </w:rPr>
        <w:t>Procedures:</w:t>
      </w:r>
    </w:p>
    <w:p w14:paraId="00000016" w14:textId="095676A0" w:rsidR="00064E9B" w:rsidRPr="00BB58F0" w:rsidRDefault="00BB58F0" w:rsidP="00BB58F0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color w:val="000000"/>
        </w:rPr>
        <w:t>Disclosure Requirement: All interested individuals must inform the Board of any conflict of interest. The facts of the interest must also be presented at this time.</w:t>
      </w:r>
    </w:p>
    <w:p w14:paraId="00000017" w14:textId="6ACFD9D2" w:rsidR="00064E9B" w:rsidRPr="00BB58F0" w:rsidRDefault="00BB58F0" w:rsidP="00BB58F0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color w:val="000000"/>
        </w:rPr>
        <w:t>The voting member may relinquish their own voting privileges regarding the involvement with the particular entity in which there is a conflict of interest.</w:t>
      </w:r>
    </w:p>
    <w:p w14:paraId="00000018" w14:textId="63F02788" w:rsidR="00064E9B" w:rsidRPr="00BB58F0" w:rsidRDefault="00BB58F0" w:rsidP="00BB58F0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color w:val="000000"/>
        </w:rPr>
        <w:t>After information regarding the conflict has been presented, and after a discussion with the board member has taken place, a vote of remaining board members will determine if a conflict of interest exists.</w:t>
      </w:r>
    </w:p>
    <w:p w14:paraId="00000019" w14:textId="37CAD7C5" w:rsidR="00064E9B" w:rsidRPr="00BB58F0" w:rsidRDefault="00BB58F0" w:rsidP="00BB58F0">
      <w:pPr>
        <w:pStyle w:val="ListParagraph"/>
        <w:numPr>
          <w:ilvl w:val="1"/>
          <w:numId w:val="5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color w:val="000000"/>
        </w:rPr>
        <w:t>If a conflict is found, it is the duty of the Board to reasonably search for a better alternative where a conflict does not exist.</w:t>
      </w:r>
    </w:p>
    <w:p w14:paraId="0000001A" w14:textId="0299626F" w:rsidR="00064E9B" w:rsidRPr="00BB58F0" w:rsidRDefault="00BB58F0" w:rsidP="00BB58F0">
      <w:pPr>
        <w:pStyle w:val="ListParagraph"/>
        <w:numPr>
          <w:ilvl w:val="1"/>
          <w:numId w:val="5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color w:val="000000"/>
        </w:rPr>
        <w:t xml:space="preserve">If the Board is unable to find an alternative and if a reasonable attempt </w:t>
      </w:r>
      <w:proofErr w:type="gramStart"/>
      <w:r w:rsidRPr="00BB58F0">
        <w:rPr>
          <w:rFonts w:ascii="Century Gothic" w:eastAsia="Arial" w:hAnsi="Century Gothic" w:cs="Arial"/>
          <w:color w:val="000000"/>
        </w:rPr>
        <w:t>was</w:t>
      </w:r>
      <w:proofErr w:type="gramEnd"/>
      <w:r w:rsidRPr="00BB58F0">
        <w:rPr>
          <w:rFonts w:ascii="Century Gothic" w:eastAsia="Arial" w:hAnsi="Century Gothic" w:cs="Arial"/>
          <w:color w:val="000000"/>
        </w:rPr>
        <w:t xml:space="preserve"> made, the Board will vote to decide </w:t>
      </w:r>
      <w:proofErr w:type="gramStart"/>
      <w:r w:rsidRPr="00BB58F0">
        <w:rPr>
          <w:rFonts w:ascii="Century Gothic" w:eastAsia="Arial" w:hAnsi="Century Gothic" w:cs="Arial"/>
          <w:color w:val="000000"/>
        </w:rPr>
        <w:t>whether or not</w:t>
      </w:r>
      <w:proofErr w:type="gramEnd"/>
      <w:r w:rsidRPr="00BB58F0">
        <w:rPr>
          <w:rFonts w:ascii="Century Gothic" w:eastAsia="Arial" w:hAnsi="Century Gothic" w:cs="Arial"/>
          <w:color w:val="000000"/>
        </w:rPr>
        <w:t xml:space="preserve"> to proceed with the entity. It must be in the best interest of the foundation and its mission.</w:t>
      </w:r>
    </w:p>
    <w:p w14:paraId="0000001B" w14:textId="77777777" w:rsidR="00064E9B" w:rsidRPr="00BB58F0" w:rsidRDefault="00064E9B">
      <w:pPr>
        <w:spacing w:after="0" w:line="240" w:lineRule="auto"/>
        <w:rPr>
          <w:rFonts w:ascii="Century Gothic" w:eastAsia="Times New Roman" w:hAnsi="Century Gothic" w:cs="Times New Roman"/>
        </w:rPr>
      </w:pPr>
    </w:p>
    <w:p w14:paraId="0000001C" w14:textId="77777777" w:rsidR="00064E9B" w:rsidRPr="00BB58F0" w:rsidRDefault="00BB58F0" w:rsidP="00BB58F0">
      <w:pPr>
        <w:spacing w:after="12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b/>
          <w:color w:val="000000"/>
        </w:rPr>
        <w:t>Violations:</w:t>
      </w:r>
    </w:p>
    <w:p w14:paraId="0000001E" w14:textId="081C43E2" w:rsidR="00064E9B" w:rsidRPr="00BB58F0" w:rsidRDefault="00BB58F0" w:rsidP="00BB58F0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color w:val="000000"/>
        </w:rPr>
        <w:t>If the Board determines that a member within WHA has withheld information regarding a conflict of interest, the member will be notified. The individual will be given the chance to explain the alleged conflict.</w:t>
      </w:r>
    </w:p>
    <w:p w14:paraId="0000001F" w14:textId="7AC561C7" w:rsidR="00064E9B" w:rsidRPr="00BB58F0" w:rsidRDefault="00BB58F0" w:rsidP="00BB58F0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color w:val="000000"/>
        </w:rPr>
        <w:lastRenderedPageBreak/>
        <w:t xml:space="preserve">The Board will then review the matter once more and a final decision will be made. </w:t>
      </w:r>
    </w:p>
    <w:p w14:paraId="00000020" w14:textId="77777777" w:rsidR="00064E9B" w:rsidRPr="00BB58F0" w:rsidRDefault="00064E9B">
      <w:pPr>
        <w:spacing w:after="0" w:line="240" w:lineRule="auto"/>
        <w:rPr>
          <w:rFonts w:ascii="Century Gothic" w:eastAsia="Times New Roman" w:hAnsi="Century Gothic" w:cs="Times New Roman"/>
        </w:rPr>
      </w:pPr>
    </w:p>
    <w:p w14:paraId="00000021" w14:textId="7472010B" w:rsidR="00064E9B" w:rsidRPr="00BB58F0" w:rsidRDefault="00BB58F0" w:rsidP="00BB58F0">
      <w:pPr>
        <w:spacing w:after="12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b/>
          <w:color w:val="000000"/>
        </w:rPr>
        <w:t>Compensation Conflicts:</w:t>
      </w:r>
    </w:p>
    <w:p w14:paraId="00000023" w14:textId="6BD37994" w:rsidR="00064E9B" w:rsidRPr="00BB58F0" w:rsidRDefault="00BB58F0" w:rsidP="00BB58F0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color w:val="000000"/>
        </w:rPr>
        <w:t>A voting member who receives compensation, in any form, from WHA is precluded from voting matters regarding the compensation.</w:t>
      </w:r>
    </w:p>
    <w:p w14:paraId="00000024" w14:textId="77777777" w:rsidR="00064E9B" w:rsidRPr="00BB58F0" w:rsidRDefault="00064E9B">
      <w:pPr>
        <w:spacing w:after="0" w:line="240" w:lineRule="auto"/>
        <w:rPr>
          <w:rFonts w:ascii="Century Gothic" w:eastAsia="Times New Roman" w:hAnsi="Century Gothic" w:cs="Times New Roman"/>
        </w:rPr>
      </w:pPr>
    </w:p>
    <w:p w14:paraId="00000025" w14:textId="77777777" w:rsidR="00064E9B" w:rsidRPr="00BB58F0" w:rsidRDefault="00BB58F0" w:rsidP="00BB58F0">
      <w:pPr>
        <w:spacing w:after="12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b/>
          <w:color w:val="000000"/>
        </w:rPr>
        <w:t>Annual Statements:</w:t>
      </w:r>
    </w:p>
    <w:p w14:paraId="00000027" w14:textId="358A1617" w:rsidR="00064E9B" w:rsidRPr="00BB58F0" w:rsidRDefault="00BB58F0" w:rsidP="00BB58F0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color w:val="000000"/>
        </w:rPr>
        <w:t>Each director, officer, and Board member is required to sign a statement affirming that he/she:</w:t>
      </w:r>
    </w:p>
    <w:p w14:paraId="00000028" w14:textId="294D4FA0" w:rsidR="00064E9B" w:rsidRPr="00BB58F0" w:rsidRDefault="00BB58F0" w:rsidP="00BB58F0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color w:val="000000"/>
        </w:rPr>
        <w:t xml:space="preserve">Has received a copy of the </w:t>
      </w:r>
      <w:proofErr w:type="gramStart"/>
      <w:r w:rsidRPr="00BB58F0">
        <w:rPr>
          <w:rFonts w:ascii="Century Gothic" w:eastAsia="Arial" w:hAnsi="Century Gothic" w:cs="Arial"/>
          <w:color w:val="000000"/>
        </w:rPr>
        <w:t>conflict of interest</w:t>
      </w:r>
      <w:proofErr w:type="gramEnd"/>
      <w:r w:rsidRPr="00BB58F0">
        <w:rPr>
          <w:rFonts w:ascii="Century Gothic" w:eastAsia="Arial" w:hAnsi="Century Gothic" w:cs="Arial"/>
          <w:color w:val="000000"/>
        </w:rPr>
        <w:t xml:space="preserve"> policy.</w:t>
      </w:r>
    </w:p>
    <w:p w14:paraId="00000029" w14:textId="7B352010" w:rsidR="00064E9B" w:rsidRPr="00BB58F0" w:rsidRDefault="00BB58F0" w:rsidP="00BB58F0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color w:val="000000"/>
        </w:rPr>
        <w:t>Has read and understands the policy.</w:t>
      </w:r>
    </w:p>
    <w:p w14:paraId="0000002A" w14:textId="1136BD57" w:rsidR="00064E9B" w:rsidRPr="00BB58F0" w:rsidRDefault="00BB58F0" w:rsidP="00BB58F0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BB58F0">
        <w:rPr>
          <w:rFonts w:ascii="Century Gothic" w:eastAsia="Arial" w:hAnsi="Century Gothic" w:cs="Arial"/>
          <w:color w:val="000000"/>
        </w:rPr>
        <w:t>Has agreed to adhere to the policy, and</w:t>
      </w:r>
    </w:p>
    <w:p w14:paraId="0000002B" w14:textId="1732237A" w:rsidR="00064E9B" w:rsidRPr="00BB58F0" w:rsidRDefault="00BB58F0" w:rsidP="00BB58F0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Times New Roman" w:hAnsi="Century Gothic" w:cs="Times New Roman"/>
        </w:rPr>
      </w:pPr>
      <w:bookmarkStart w:id="0" w:name="_heading=h.gjdgxs" w:colFirst="0" w:colLast="0"/>
      <w:bookmarkEnd w:id="0"/>
      <w:r w:rsidRPr="00BB58F0">
        <w:rPr>
          <w:rFonts w:ascii="Century Gothic" w:eastAsia="Arial" w:hAnsi="Century Gothic" w:cs="Arial"/>
          <w:color w:val="000000"/>
        </w:rPr>
        <w:t xml:space="preserve">Understands that WHA is charitable and </w:t>
      </w:r>
      <w:proofErr w:type="gramStart"/>
      <w:r w:rsidRPr="00BB58F0">
        <w:rPr>
          <w:rFonts w:ascii="Century Gothic" w:eastAsia="Arial" w:hAnsi="Century Gothic" w:cs="Arial"/>
          <w:color w:val="000000"/>
        </w:rPr>
        <w:t>in order to</w:t>
      </w:r>
      <w:proofErr w:type="gramEnd"/>
      <w:r w:rsidRPr="00BB58F0">
        <w:rPr>
          <w:rFonts w:ascii="Century Gothic" w:eastAsia="Arial" w:hAnsi="Century Gothic" w:cs="Arial"/>
          <w:color w:val="000000"/>
        </w:rPr>
        <w:t xml:space="preserve"> gain and maintain federal tax exemption, the organization must engage primarily in tax-exempt activities.</w:t>
      </w:r>
    </w:p>
    <w:p w14:paraId="0000002C" w14:textId="77777777" w:rsidR="00064E9B" w:rsidRPr="00BB58F0" w:rsidRDefault="00064E9B">
      <w:pPr>
        <w:rPr>
          <w:rFonts w:ascii="Century Gothic" w:hAnsi="Century Gothic"/>
        </w:rPr>
      </w:pPr>
    </w:p>
    <w:p w14:paraId="0000002D" w14:textId="77777777" w:rsidR="00064E9B" w:rsidRPr="00BB58F0" w:rsidRDefault="00BB58F0">
      <w:pPr>
        <w:rPr>
          <w:rFonts w:ascii="Century Gothic" w:eastAsia="Arial" w:hAnsi="Century Gothic" w:cs="Arial"/>
          <w:b/>
        </w:rPr>
      </w:pPr>
      <w:r w:rsidRPr="00BB58F0">
        <w:rPr>
          <w:rFonts w:ascii="Century Gothic" w:eastAsia="Arial" w:hAnsi="Century Gothic" w:cs="Arial"/>
          <w:b/>
        </w:rPr>
        <w:t>DISCLOSURE STATEMENT</w:t>
      </w:r>
    </w:p>
    <w:p w14:paraId="0000002E" w14:textId="77777777" w:rsidR="00064E9B" w:rsidRPr="00BB58F0" w:rsidRDefault="00BB58F0">
      <w:pPr>
        <w:rPr>
          <w:rFonts w:ascii="Century Gothic" w:eastAsia="Arial" w:hAnsi="Century Gothic" w:cs="Arial"/>
        </w:rPr>
      </w:pPr>
      <w:r w:rsidRPr="00BB58F0">
        <w:rPr>
          <w:rFonts w:ascii="Century Gothic" w:eastAsia="Arial" w:hAnsi="Century Gothic" w:cs="Arial"/>
        </w:rPr>
        <w:t xml:space="preserve">Pursuant to the purpose of requiring disclosure of certain interests, I hereby state that, to the best of my knowledge, I, my family, spouse, significant other, and/or relatives have no affiliations or interest which, when considered in conjunction with my relation to Welcome Home Angel, Inc, might constitute a real or perceived conflict of interest/duality of interest, except as noted below.  (If none, write “None”.) I, my family, spouse, significant other, and/or relatives do not have a family relationship or business relationship with any officer, director, </w:t>
      </w:r>
      <w:proofErr w:type="gramStart"/>
      <w:r w:rsidRPr="00BB58F0">
        <w:rPr>
          <w:rFonts w:ascii="Century Gothic" w:eastAsia="Arial" w:hAnsi="Century Gothic" w:cs="Arial"/>
        </w:rPr>
        <w:t>trustee</w:t>
      </w:r>
      <w:proofErr w:type="gramEnd"/>
      <w:r w:rsidRPr="00BB58F0">
        <w:rPr>
          <w:rFonts w:ascii="Century Gothic" w:eastAsia="Arial" w:hAnsi="Century Gothic" w:cs="Arial"/>
        </w:rPr>
        <w:t xml:space="preserve"> or key employee, except as noted below.   I have read the purpose, responsibility, and procedure for disclosing affiliations</w:t>
      </w:r>
    </w:p>
    <w:p w14:paraId="0000002F" w14:textId="77777777" w:rsidR="00064E9B" w:rsidRPr="00BB58F0" w:rsidRDefault="00064E9B">
      <w:pPr>
        <w:rPr>
          <w:rFonts w:ascii="Century Gothic" w:eastAsia="Arial" w:hAnsi="Century Gothic" w:cs="Arial"/>
        </w:rPr>
      </w:pPr>
    </w:p>
    <w:p w14:paraId="00000030" w14:textId="77777777" w:rsidR="00064E9B" w:rsidRPr="00BB58F0" w:rsidRDefault="00BB58F0">
      <w:pPr>
        <w:rPr>
          <w:rFonts w:ascii="Century Gothic" w:eastAsia="Arial" w:hAnsi="Century Gothic" w:cs="Arial"/>
          <w:b/>
        </w:rPr>
      </w:pPr>
      <w:r w:rsidRPr="00BB58F0">
        <w:rPr>
          <w:rFonts w:ascii="Century Gothic" w:eastAsia="Arial" w:hAnsi="Century Gothic" w:cs="Arial"/>
          <w:b/>
        </w:rPr>
        <w:t xml:space="preserve">ORGANIZATION/COMPANY/VENDOR   </w:t>
      </w:r>
      <w:r w:rsidRPr="00BB58F0">
        <w:rPr>
          <w:rFonts w:ascii="Century Gothic" w:eastAsia="Arial" w:hAnsi="Century Gothic" w:cs="Arial"/>
          <w:b/>
        </w:rPr>
        <w:tab/>
      </w:r>
      <w:r w:rsidRPr="00BB58F0">
        <w:rPr>
          <w:rFonts w:ascii="Century Gothic" w:eastAsia="Arial" w:hAnsi="Century Gothic" w:cs="Arial"/>
          <w:b/>
        </w:rPr>
        <w:tab/>
      </w:r>
      <w:r w:rsidRPr="00BB58F0">
        <w:rPr>
          <w:rFonts w:ascii="Century Gothic" w:eastAsia="Arial" w:hAnsi="Century Gothic" w:cs="Arial"/>
          <w:b/>
        </w:rPr>
        <w:tab/>
        <w:t xml:space="preserve"> NATURE OF CONFLICT/DUALITY</w:t>
      </w:r>
    </w:p>
    <w:p w14:paraId="00000031" w14:textId="00042E09" w:rsidR="00064E9B" w:rsidRPr="00BB58F0" w:rsidRDefault="00BB58F0">
      <w:pPr>
        <w:spacing w:line="480" w:lineRule="auto"/>
        <w:rPr>
          <w:rFonts w:ascii="Century Gothic" w:eastAsia="Arial" w:hAnsi="Century Gothic" w:cs="Arial"/>
        </w:rPr>
      </w:pPr>
      <w:r w:rsidRPr="00BB58F0">
        <w:rPr>
          <w:rFonts w:ascii="Century Gothic" w:eastAsia="Arial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Arial" w:hAnsi="Century Gothic" w:cs="Arial"/>
        </w:rPr>
        <w:t>_____________________</w:t>
      </w:r>
    </w:p>
    <w:p w14:paraId="00000032" w14:textId="77777777" w:rsidR="00064E9B" w:rsidRPr="00BB58F0" w:rsidRDefault="00BB58F0">
      <w:pPr>
        <w:rPr>
          <w:rFonts w:ascii="Century Gothic" w:eastAsia="Arial" w:hAnsi="Century Gothic" w:cs="Arial"/>
        </w:rPr>
      </w:pPr>
      <w:r w:rsidRPr="00BB58F0">
        <w:rPr>
          <w:rFonts w:ascii="Century Gothic" w:eastAsia="Arial" w:hAnsi="Century Gothic" w:cs="Arial"/>
        </w:rPr>
        <w:t>I also agree to report to the WHA Executive Director and/or the President of the Board of Directors any situations that may develop in the above areas before completion of my next annual questionnaire.</w:t>
      </w:r>
    </w:p>
    <w:p w14:paraId="00000033" w14:textId="77777777" w:rsidR="00064E9B" w:rsidRPr="00BB58F0" w:rsidRDefault="00064E9B">
      <w:pPr>
        <w:rPr>
          <w:rFonts w:ascii="Century Gothic" w:eastAsia="Arial" w:hAnsi="Century Gothic" w:cs="Arial"/>
        </w:rPr>
      </w:pPr>
    </w:p>
    <w:p w14:paraId="00000037" w14:textId="6EAF5555" w:rsidR="00064E9B" w:rsidRPr="00BB58F0" w:rsidRDefault="00BB58F0">
      <w:pPr>
        <w:rPr>
          <w:rFonts w:ascii="Century Gothic" w:hAnsi="Century Gothic"/>
        </w:rPr>
      </w:pPr>
      <w:r w:rsidRPr="00BB58F0">
        <w:rPr>
          <w:rFonts w:ascii="Century Gothic" w:eastAsia="Arial" w:hAnsi="Century Gothic" w:cs="Arial"/>
          <w:b/>
        </w:rPr>
        <w:t>NAME: ____________________      SIGNATURE:___________________   DATE:_________</w:t>
      </w:r>
    </w:p>
    <w:sectPr w:rsidR="00064E9B" w:rsidRPr="00BB58F0" w:rsidSect="00CB2E74">
      <w:headerReference w:type="default" r:id="rId8"/>
      <w:pgSz w:w="12240" w:h="15840"/>
      <w:pgMar w:top="450" w:right="1440" w:bottom="1440" w:left="144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EFF0" w14:textId="77777777" w:rsidR="004A7161" w:rsidRDefault="004A7161" w:rsidP="00BB58F0">
      <w:pPr>
        <w:spacing w:after="0" w:line="240" w:lineRule="auto"/>
      </w:pPr>
      <w:r>
        <w:separator/>
      </w:r>
    </w:p>
  </w:endnote>
  <w:endnote w:type="continuationSeparator" w:id="0">
    <w:p w14:paraId="4EC07EA1" w14:textId="77777777" w:rsidR="004A7161" w:rsidRDefault="004A7161" w:rsidP="00BB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3D4A" w14:textId="77777777" w:rsidR="004A7161" w:rsidRDefault="004A7161" w:rsidP="00BB58F0">
      <w:pPr>
        <w:spacing w:after="0" w:line="240" w:lineRule="auto"/>
      </w:pPr>
      <w:r>
        <w:separator/>
      </w:r>
    </w:p>
  </w:footnote>
  <w:footnote w:type="continuationSeparator" w:id="0">
    <w:p w14:paraId="49D52CD0" w14:textId="77777777" w:rsidR="004A7161" w:rsidRDefault="004A7161" w:rsidP="00BB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3461" w14:textId="77777777" w:rsidR="00CB2E74" w:rsidRPr="00754AFE" w:rsidRDefault="00CB2E74" w:rsidP="00CB2E74">
    <w:pPr>
      <w:rPr>
        <w:rFonts w:ascii="Arial" w:hAnsi="Arial" w:cs="Arial"/>
      </w:rPr>
    </w:pPr>
    <w:r w:rsidRPr="00754AFE">
      <w:rPr>
        <w:rFonts w:ascii="Arial" w:hAnsi="Arial" w:cs="Arial"/>
        <w:noProof/>
      </w:rPr>
      <w:drawing>
        <wp:anchor distT="114300" distB="114300" distL="114300" distR="114300" simplePos="0" relativeHeight="251659264" behindDoc="0" locked="0" layoutInCell="1" hidden="0" allowOverlap="1" wp14:anchorId="049706B4" wp14:editId="30E8D70C">
          <wp:simplePos x="0" y="0"/>
          <wp:positionH relativeFrom="column">
            <wp:posOffset>19052</wp:posOffset>
          </wp:positionH>
          <wp:positionV relativeFrom="paragraph">
            <wp:posOffset>114300</wp:posOffset>
          </wp:positionV>
          <wp:extent cx="2317432" cy="710181"/>
          <wp:effectExtent l="0" t="0" r="0" b="0"/>
          <wp:wrapSquare wrapText="bothSides" distT="114300" distB="114300" distL="114300" distR="114300"/>
          <wp:docPr id="134485290" name="Picture 134485290" descr="A blue text on a white background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A blue text on a white background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432" cy="7101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FF602E" w14:textId="77777777" w:rsidR="00CB2E74" w:rsidRPr="00754AFE" w:rsidRDefault="00CB2E74" w:rsidP="00CB2E74">
    <w:pPr>
      <w:spacing w:after="0"/>
      <w:jc w:val="right"/>
      <w:rPr>
        <w:rFonts w:ascii="Arial" w:hAnsi="Arial" w:cs="Arial"/>
      </w:rPr>
    </w:pPr>
    <w:r w:rsidRPr="00754AFE">
      <w:rPr>
        <w:rFonts w:ascii="Arial" w:hAnsi="Arial" w:cs="Arial"/>
      </w:rPr>
      <w:t>3175 Wrightsville Avenue</w:t>
    </w:r>
  </w:p>
  <w:p w14:paraId="2F1990C4" w14:textId="77777777" w:rsidR="00CB2E74" w:rsidRPr="00754AFE" w:rsidRDefault="00CB2E74" w:rsidP="00CB2E74">
    <w:pPr>
      <w:spacing w:after="0"/>
      <w:jc w:val="right"/>
      <w:rPr>
        <w:rFonts w:ascii="Arial" w:hAnsi="Arial" w:cs="Arial"/>
      </w:rPr>
    </w:pPr>
    <w:r w:rsidRPr="00754AFE">
      <w:rPr>
        <w:rFonts w:ascii="Arial" w:hAnsi="Arial" w:cs="Arial"/>
      </w:rPr>
      <w:t>Wilmington, NC 28403</w:t>
    </w:r>
  </w:p>
  <w:p w14:paraId="02D370B2" w14:textId="77777777" w:rsidR="00CB2E74" w:rsidRPr="00754AFE" w:rsidRDefault="00CB2E74" w:rsidP="00CB2E74">
    <w:pPr>
      <w:spacing w:after="0"/>
      <w:jc w:val="right"/>
      <w:rPr>
        <w:rFonts w:ascii="Arial" w:hAnsi="Arial" w:cs="Arial"/>
      </w:rPr>
    </w:pPr>
    <w:r w:rsidRPr="00754AFE">
      <w:rPr>
        <w:rFonts w:ascii="Arial" w:hAnsi="Arial" w:cs="Arial"/>
      </w:rPr>
      <w:t>WelcomeHomeAngel.com</w:t>
    </w:r>
  </w:p>
  <w:p w14:paraId="2FEDFC0C" w14:textId="77777777" w:rsidR="00BB58F0" w:rsidRDefault="00BB58F0" w:rsidP="00BB5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3D08"/>
    <w:multiLevelType w:val="hybridMultilevel"/>
    <w:tmpl w:val="2BE8BF6C"/>
    <w:lvl w:ilvl="0" w:tplc="4FDC3F6A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10A27C26">
      <w:start w:val="1"/>
      <w:numFmt w:val="lowerLetter"/>
      <w:lvlText w:val="%2."/>
      <w:lvlJc w:val="left"/>
      <w:pPr>
        <w:ind w:left="1440" w:hanging="360"/>
      </w:pPr>
      <w:rPr>
        <w:rFonts w:eastAsia="Arial" w:cs="Aria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06A6A"/>
    <w:multiLevelType w:val="hybridMultilevel"/>
    <w:tmpl w:val="1AC0B2C4"/>
    <w:lvl w:ilvl="0" w:tplc="4FDC3F6A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7526B74C">
      <w:start w:val="1"/>
      <w:numFmt w:val="lowerLetter"/>
      <w:lvlText w:val="%2."/>
      <w:lvlJc w:val="left"/>
      <w:pPr>
        <w:ind w:left="1440" w:hanging="360"/>
      </w:pPr>
      <w:rPr>
        <w:rFonts w:eastAsia="Arial" w:cs="Aria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35D2D"/>
    <w:multiLevelType w:val="hybridMultilevel"/>
    <w:tmpl w:val="8AAC7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F7380"/>
    <w:multiLevelType w:val="hybridMultilevel"/>
    <w:tmpl w:val="749E48D2"/>
    <w:lvl w:ilvl="0" w:tplc="4FDC3F6A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B3BC4"/>
    <w:multiLevelType w:val="hybridMultilevel"/>
    <w:tmpl w:val="C9A8ADEA"/>
    <w:lvl w:ilvl="0" w:tplc="4FDC3F6A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B76F2"/>
    <w:multiLevelType w:val="hybridMultilevel"/>
    <w:tmpl w:val="DE027B50"/>
    <w:lvl w:ilvl="0" w:tplc="4FDC3F6A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41F51"/>
    <w:multiLevelType w:val="hybridMultilevel"/>
    <w:tmpl w:val="114CD6EE"/>
    <w:lvl w:ilvl="0" w:tplc="4FDC3F6A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01F8F"/>
    <w:multiLevelType w:val="hybridMultilevel"/>
    <w:tmpl w:val="F786734C"/>
    <w:lvl w:ilvl="0" w:tplc="4FDC3F6A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CEF29398">
      <w:start w:val="1"/>
      <w:numFmt w:val="lowerLetter"/>
      <w:lvlText w:val="%2."/>
      <w:lvlJc w:val="left"/>
      <w:pPr>
        <w:ind w:left="1440" w:hanging="360"/>
      </w:pPr>
      <w:rPr>
        <w:rFonts w:eastAsia="Arial" w:cs="Aria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B19A4"/>
    <w:multiLevelType w:val="hybridMultilevel"/>
    <w:tmpl w:val="9BF45F7E"/>
    <w:lvl w:ilvl="0" w:tplc="4FDC3F6A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A5520"/>
    <w:multiLevelType w:val="hybridMultilevel"/>
    <w:tmpl w:val="FC7CBF34"/>
    <w:lvl w:ilvl="0" w:tplc="4FDC3F6A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424088">
    <w:abstractNumId w:val="2"/>
  </w:num>
  <w:num w:numId="2" w16cid:durableId="50546460">
    <w:abstractNumId w:val="9"/>
  </w:num>
  <w:num w:numId="3" w16cid:durableId="1857741">
    <w:abstractNumId w:val="1"/>
  </w:num>
  <w:num w:numId="4" w16cid:durableId="1432313632">
    <w:abstractNumId w:val="5"/>
  </w:num>
  <w:num w:numId="5" w16cid:durableId="769011154">
    <w:abstractNumId w:val="7"/>
  </w:num>
  <w:num w:numId="6" w16cid:durableId="1285305230">
    <w:abstractNumId w:val="3"/>
  </w:num>
  <w:num w:numId="7" w16cid:durableId="1217082094">
    <w:abstractNumId w:val="6"/>
  </w:num>
  <w:num w:numId="8" w16cid:durableId="1815832983">
    <w:abstractNumId w:val="8"/>
  </w:num>
  <w:num w:numId="9" w16cid:durableId="594674260">
    <w:abstractNumId w:val="4"/>
  </w:num>
  <w:num w:numId="10" w16cid:durableId="68113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9B"/>
    <w:rsid w:val="00064E9B"/>
    <w:rsid w:val="002A73F4"/>
    <w:rsid w:val="004A7161"/>
    <w:rsid w:val="007F74F1"/>
    <w:rsid w:val="009700A3"/>
    <w:rsid w:val="00A8278C"/>
    <w:rsid w:val="00BB58F0"/>
    <w:rsid w:val="00CB2E74"/>
    <w:rsid w:val="00DB77FB"/>
    <w:rsid w:val="00E7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2A4F9"/>
  <w15:docId w15:val="{C22F38E1-CC6B-4EB2-8DFC-A259D7EF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D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B5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8F0"/>
  </w:style>
  <w:style w:type="paragraph" w:styleId="Footer">
    <w:name w:val="footer"/>
    <w:basedOn w:val="Normal"/>
    <w:link w:val="FooterChar"/>
    <w:uiPriority w:val="99"/>
    <w:unhideWhenUsed/>
    <w:rsid w:val="00BB5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8F0"/>
  </w:style>
  <w:style w:type="paragraph" w:styleId="ListParagraph">
    <w:name w:val="List Paragraph"/>
    <w:basedOn w:val="Normal"/>
    <w:uiPriority w:val="34"/>
    <w:qFormat/>
    <w:rsid w:val="00BB5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UcDS7S6+l6Sk673NSa5Vdn+E8A==">AMUW2mWqyOxqrbCGyja2DZkvxtX9EIvxUKbx6GfGhFUfR5lxGySFY9mLxcRZ7tJ0ANkfJftI+uDx8amk0aL/RTvCPzFgGH8Uh7AI5LGlEL8zZ2BbqRkRfNU=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Teeter</dc:creator>
  <cp:lastModifiedBy>Craig Wagner</cp:lastModifiedBy>
  <cp:revision>9</cp:revision>
  <dcterms:created xsi:type="dcterms:W3CDTF">2022-02-15T20:17:00Z</dcterms:created>
  <dcterms:modified xsi:type="dcterms:W3CDTF">2023-06-21T02:50:00Z</dcterms:modified>
</cp:coreProperties>
</file>